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/>
          <w:color w:val="3D907F"/>
          <w:sz w:val="18"/>
          <w:rtl w:val="1"/>
        </w:rPr>
        <w:t>مجموعه اسناد حرفه‌ای  /  شماره 09</w:t>
      </w:r>
    </w:p>
    <w:p>
      <w:pPr>
        <w:spacing w:after="60"/>
        <w:jc w:val="right"/>
        <w:bidi w:val="1"/>
      </w:pPr>
      <w:r>
        <w:rPr>
          <w:rFonts w:ascii="Noto Sans Arabic" w:hAnsi="Noto Sans Arabic" w:cs="Noto Sans Arabic" w:eastAsia="Noto Sans Arabic"/>
          <w:b/>
          <w:color w:val="17283A"/>
          <w:sz w:val="40"/>
          <w:rtl w:val="1"/>
        </w:rPr>
        <w:t>بازسازی جدول از پی‌دی‌اف به ورد</w:t>
      </w:r>
    </w:p>
    <w:p>
      <w:pPr>
        <w:spacing w:after="2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687987"/>
          <w:sz w:val="21"/>
          <w:rtl w:val="1"/>
        </w:rPr>
        <w:t>نمونه بازآفرینی جدول با امکان ویرایش تمام سلول‌ها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نوع نمونه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تبدیل و بازسازی سند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وضعیت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نمونه مستقل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مبنای داده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آموزشی و فرضی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هدف و روش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یک جدول آموزشی فرضی از گزارش موجودی، به‌صورت قابل ویرایش در ورد بازآفرینی شده است. حفظ ترتیب ستون‌ها، واحدها، سرستون‌های فارسی و خوانایی چاپی معیار کنترل است.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جدول بازسازی‌شده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1625"/>
        <w:gridCol w:w="1625"/>
        <w:gridCol w:w="1625"/>
        <w:gridCol w:w="1625"/>
        <w:gridCol w:w="1625"/>
        <w:gridCol w:w="1625"/>
      </w:tblGrid>
      <w:tr>
        <w:trPr>
          <w:tblHeader w:val="true"/>
          <w:cantSplit/>
        </w:trPr>
        <w:tc>
          <w:tcPr>
            <w:tcW w:type="dxa" w:w="1625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نام کالا</w:t>
            </w:r>
          </w:p>
        </w:tc>
        <w:tc>
          <w:tcPr>
            <w:tcW w:type="dxa" w:w="1625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اول دوره</w:t>
            </w:r>
          </w:p>
        </w:tc>
        <w:tc>
          <w:tcPr>
            <w:tcW w:type="dxa" w:w="1625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ورود</w:t>
            </w:r>
          </w:p>
        </w:tc>
        <w:tc>
          <w:tcPr>
            <w:tcW w:type="dxa" w:w="1625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خروج</w:t>
            </w:r>
          </w:p>
        </w:tc>
        <w:tc>
          <w:tcPr>
            <w:tcW w:type="dxa" w:w="1625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مانده</w:t>
            </w:r>
          </w:p>
        </w:tc>
        <w:tc>
          <w:tcPr>
            <w:tcW w:type="dxa" w:w="1625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واحد</w:t>
            </w:r>
          </w:p>
        </w:tc>
      </w:tr>
      <w:tr>
        <w:trPr>
          <w:cantSplit/>
        </w:trPr>
        <w:tc>
          <w:tcPr>
            <w:tcW w:type="dxa" w:w="1625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کاغذ A4</w:t>
            </w:r>
          </w:p>
        </w:tc>
        <w:tc>
          <w:tcPr>
            <w:tcW w:type="dxa" w:w="1625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۸۰</w:t>
            </w:r>
          </w:p>
        </w:tc>
        <w:tc>
          <w:tcPr>
            <w:tcW w:type="dxa" w:w="1625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۲۵</w:t>
            </w:r>
          </w:p>
        </w:tc>
        <w:tc>
          <w:tcPr>
            <w:tcW w:type="dxa" w:w="1625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۴۰</w:t>
            </w:r>
          </w:p>
        </w:tc>
        <w:tc>
          <w:tcPr>
            <w:tcW w:type="dxa" w:w="1625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۶۵</w:t>
            </w:r>
          </w:p>
        </w:tc>
        <w:tc>
          <w:tcPr>
            <w:tcW w:type="dxa" w:w="1625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بسته</w:t>
            </w:r>
          </w:p>
        </w:tc>
      </w:tr>
      <w:tr>
        <w:trPr>
          <w:cantSplit/>
        </w:trPr>
        <w:tc>
          <w:tcPr>
            <w:tcW w:type="dxa" w:w="1625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پوشه بایگانی</w:t>
            </w:r>
          </w:p>
        </w:tc>
        <w:tc>
          <w:tcPr>
            <w:tcW w:type="dxa" w:w="1625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۱۴۰</w:t>
            </w:r>
          </w:p>
        </w:tc>
        <w:tc>
          <w:tcPr>
            <w:tcW w:type="dxa" w:w="1625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۶۰</w:t>
            </w:r>
          </w:p>
        </w:tc>
        <w:tc>
          <w:tcPr>
            <w:tcW w:type="dxa" w:w="1625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۷۰</w:t>
            </w:r>
          </w:p>
        </w:tc>
        <w:tc>
          <w:tcPr>
            <w:tcW w:type="dxa" w:w="1625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۱۳۰</w:t>
            </w:r>
          </w:p>
        </w:tc>
        <w:tc>
          <w:tcPr>
            <w:tcW w:type="dxa" w:w="1625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عدد</w:t>
            </w:r>
          </w:p>
        </w:tc>
      </w:tr>
      <w:tr>
        <w:trPr>
          <w:cantSplit/>
        </w:trPr>
        <w:tc>
          <w:tcPr>
            <w:tcW w:type="dxa" w:w="1625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تونر چاپگر</w:t>
            </w:r>
          </w:p>
        </w:tc>
        <w:tc>
          <w:tcPr>
            <w:tcW w:type="dxa" w:w="1625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۱۵</w:t>
            </w:r>
          </w:p>
        </w:tc>
        <w:tc>
          <w:tcPr>
            <w:tcW w:type="dxa" w:w="1625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۸</w:t>
            </w:r>
          </w:p>
        </w:tc>
        <w:tc>
          <w:tcPr>
            <w:tcW w:type="dxa" w:w="1625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۱۱</w:t>
            </w:r>
          </w:p>
        </w:tc>
        <w:tc>
          <w:tcPr>
            <w:tcW w:type="dxa" w:w="1625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۱۲</w:t>
            </w:r>
          </w:p>
        </w:tc>
        <w:tc>
          <w:tcPr>
            <w:tcW w:type="dxa" w:w="1625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عدد</w:t>
            </w:r>
          </w:p>
        </w:tc>
      </w:tr>
      <w:tr>
        <w:trPr>
          <w:cantSplit/>
        </w:trPr>
        <w:tc>
          <w:tcPr>
            <w:tcW w:type="dxa" w:w="1625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ماژیک علامت‌گذار</w:t>
            </w:r>
          </w:p>
        </w:tc>
        <w:tc>
          <w:tcPr>
            <w:tcW w:type="dxa" w:w="1625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۳۰</w:t>
            </w:r>
          </w:p>
        </w:tc>
        <w:tc>
          <w:tcPr>
            <w:tcW w:type="dxa" w:w="1625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۱۰</w:t>
            </w:r>
          </w:p>
        </w:tc>
        <w:tc>
          <w:tcPr>
            <w:tcW w:type="dxa" w:w="1625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۲۲</w:t>
            </w:r>
          </w:p>
        </w:tc>
        <w:tc>
          <w:tcPr>
            <w:tcW w:type="dxa" w:w="1625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۱۸</w:t>
            </w:r>
          </w:p>
        </w:tc>
        <w:tc>
          <w:tcPr>
            <w:tcW w:type="dxa" w:w="1625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بسته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کنترل محاسبات نمونه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برای هر ردیف، رابطه موجودی پایان دوره با ورودی و خروجی کنترل شده است. مانده کالای «کاغذ A4» برابر با ۶۵ بسته است.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روش ارزیابی کیفیت بازسازی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تعداد ردیف‌ها و ترتیب سرستون‌ها با مرجع یکسان باشد.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اعداد و واحدهای ثبت‌شده با جدول مرجع برابر باشند.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جدول پس از ویرایش سلول‌ها، خوانایی و ساختار خود را حفظ کند.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هیچ داده ناخوانا یا مبهمی بدون ثبت استثنا حدس زده نشود.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  <w:shd w:fill="EBF1F6"/>
            <w:tcMar>
              <w:top w:w="145" w:type="dxa"/>
              <w:start w:w="180" w:type="dxa"/>
              <w:bottom w:w="145" w:type="dxa"/>
              <w:end w:w="18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17283A"/>
                <w:sz w:val="18"/>
                <w:rtl w:val="1"/>
              </w:rPr>
              <w:t>نکته کنترل کیفیت  |  ورودی و جدول هر دو ساختگی هستند و برای نمایش مهارت بازسازی سند تهیه شده‌اند.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850" w:left="107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Sans Arabic" w:hAnsi="Noto Sans Arabic" w:cs="Noto Sans Arabic" w:eastAsia="Noto Sans Arabic"/>
        <w:b w:val="0"/>
        <w:color w:val="687987"/>
        <w:sz w:val="15"/>
        <w:rtl w:val="1"/>
      </w:rPr>
      <w:t xml:space="preserve">اطلاعات آموزشی و فرضی  •  قابل ویرایش  •  صفحه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bidi w:val="1"/>
    </w:pPr>
    <w:r>
      <w:rPr>
        <w:rFonts w:ascii="Noto Sans Arabic" w:hAnsi="Noto Sans Arabic" w:cs="Noto Sans Arabic" w:eastAsia="Noto Sans Arabic"/>
        <w:b/>
        <w:color w:val="3D907F"/>
        <w:sz w:val="17"/>
        <w:rtl w:val="1"/>
      </w:rPr>
      <w:t>ERVIRA   |   نمونه‌کار مستقلِ اسناد فارسی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36" w:lineRule="auto"/>
    </w:pPr>
    <w:rPr>
      <w:rFonts w:ascii="Noto Sans Arabic" w:hAnsi="Noto Sans Arabic"/>
      <w:color w:val="1930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 Editable Table Reconstruction</dc:title>
  <dc:subject>نمونه‌کار مستقل؛ داده و هویت فرضی</dc:subject>
  <dc:creator>ERVIRA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