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05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نمونه ساختار توافق خدمات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الگوی آموزشی بندهای یک توافق خدمات دیجیتال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الگوی عمومی غیرحقوقی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9B543A"/>
          <w:sz w:val="19"/>
          <w:rtl w:val="1"/>
        </w:rPr>
        <w:t>این متن صرفاً نمونه‌ای برای نشان دادن مهارت صفحه‌آرایی قرارداد است؛ سند حقوقی معتبر یا مشاوره حقوقی نیست. پیش از استفاده واقعی باید توسط متخصص حقوقی متناسب با موضوع، قانون و طرفین بازبینی شود.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۱. موضوع توافق</w:t>
      </w:r>
    </w:p>
    <w:p>
      <w:pPr>
        <w:spacing w:after="10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تهیه یک داشبورد تحلیلی از داده‌های ساختگی یا فایل‌های تحویلی، مطابق شرح خدمات پیوست.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۲. محدوده خدمات</w:t>
      </w:r>
    </w:p>
    <w:p>
      <w:pPr>
        <w:spacing w:after="10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ساخت الگوی ورودی، تعریف شاخص‌های مورد توافق، تهیه خروجی قابل ویرایش و راهنمای استفاده.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۳. تعهدات اطلاعاتی</w:t>
      </w:r>
    </w:p>
    <w:p>
      <w:pPr>
        <w:spacing w:after="10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اطلاعات ورودی توسط سفارش‌دهنده تأمین می‌شود. داده‌های ناقص باید اعلام و تعیین تکلیف شوند؛ تکمیل حدسی مجاز نیست.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۴. تحویل و بازبینی</w:t>
      </w:r>
    </w:p>
    <w:p>
      <w:pPr>
        <w:spacing w:after="10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معیار پذیرش باید پیش از شروع در پیوست فنی روشن شود. زمان بازبینی و نحوه ثبت ایراد نیز باید با توافق تعیین گردد.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۵. محرمانگی و مالکیت</w:t>
      </w:r>
    </w:p>
    <w:p>
      <w:pPr>
        <w:spacing w:after="10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شرایط استفاده از داده و حقوق فایل‌های تحویلی باید به‌طور مشخص توسط طرفین و مشاور حقوقی تعیین شود.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۶. تغییرات دامنه</w:t>
      </w:r>
    </w:p>
    <w:p>
      <w:pPr>
        <w:spacing w:after="10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خواسته‌های خارج از شرح کار اولیه باید پس از توافق جداگانه درباره زمان و هزینه بررسی شوند.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۷. حل اختلاف</w:t>
      </w:r>
    </w:p>
    <w:p>
      <w:pPr>
        <w:spacing w:after="10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روش حل اختلاف، مرجع صالح و قانون حاکم باید برای قرارداد واقعی با نظر مشاور حقوقی درج شوند.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پیوست نمونه پذیرش فنی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4876"/>
        <w:gridCol w:w="4876"/>
      </w:tblGrid>
      <w:tr>
        <w:trPr>
          <w:tblHeader w:val="true"/>
          <w:cantSplit/>
        </w:trPr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اقلام تحویلی</w:t>
            </w:r>
          </w:p>
        </w:tc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شرط پذیرش</w:t>
            </w:r>
          </w:p>
        </w:tc>
      </w:tr>
      <w:tr>
        <w:trPr>
          <w:cantSplit/>
        </w:trPr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فایل قابل ویرایش</w:t>
            </w:r>
          </w:p>
        </w:tc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بازشدن بدون خطای محتوایی</w:t>
            </w:r>
          </w:p>
        </w:tc>
      </w:tr>
      <w:tr>
        <w:trPr>
          <w:cantSplit/>
        </w:trPr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داشبورد</w:t>
            </w:r>
          </w:p>
        </w:tc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هماهنگی نتایج با داده‌های تأییدشده</w:t>
            </w:r>
          </w:p>
        </w:tc>
      </w:tr>
      <w:tr>
        <w:trPr>
          <w:cantSplit/>
        </w:trPr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راهنمای استفاده</w:t>
            </w:r>
          </w:p>
        </w:tc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پوشش مراحل ورود و خروج اطلاعات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تمام طرفین و شرایط قراردادی عمداً خالی‌اند؛ این فایل برای امضای واقعی طراحی نشده است.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Service Agreement Layout Sample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