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before="0" w:line="317" w:lineRule="auto"/>
        <w:jc w:val="right"/>
        <w:bidi w:val="1"/>
      </w:pPr>
      <w:r>
        <w:rPr>
          <w:rFonts w:ascii="Noto Sans Arabic" w:hAnsi="Noto Sans Arabic" w:cs="Noto Sans Arabic" w:eastAsia="Noto Sans Arabic"/>
          <w:b/>
          <w:color w:val="3D907F"/>
          <w:sz w:val="18"/>
          <w:rtl w:val="1"/>
        </w:rPr>
        <w:t>مجموعه اسناد حرفه‌ای  /  شماره 01</w:t>
      </w:r>
    </w:p>
    <w:p>
      <w:pPr>
        <w:spacing w:after="60"/>
        <w:jc w:val="right"/>
        <w:bidi w:val="1"/>
      </w:pPr>
      <w:r>
        <w:rPr>
          <w:rFonts w:ascii="Noto Sans Arabic" w:hAnsi="Noto Sans Arabic" w:cs="Noto Sans Arabic" w:eastAsia="Noto Sans Arabic"/>
          <w:b/>
          <w:color w:val="17283A"/>
          <w:sz w:val="40"/>
          <w:rtl w:val="1"/>
        </w:rPr>
        <w:t>گزارش مدیریتی عملکرد فصلی</w:t>
      </w:r>
    </w:p>
    <w:p>
      <w:pPr>
        <w:spacing w:after="260" w:before="0" w:line="317" w:lineRule="auto"/>
        <w:jc w:val="right"/>
        <w:bidi w:val="1"/>
      </w:pPr>
      <w:r>
        <w:rPr>
          <w:rFonts w:ascii="Noto Sans Arabic" w:hAnsi="Noto Sans Arabic" w:cs="Noto Sans Arabic" w:eastAsia="Noto Sans Arabic"/>
          <w:b w:val="0"/>
          <w:color w:val="687987"/>
          <w:sz w:val="21"/>
          <w:rtl w:val="1"/>
        </w:rPr>
        <w:t>خلاصه تصمیم‌محور برای هیئت‌مدیره یک کسب‌وکار فرضی</w:t>
      </w:r>
    </w:p>
    <w:tbl>
      <w:tblPr>
        <w:tblW w:type="auto" w:w="0"/>
        <w:tblLayout w:type="fixed"/>
        <w:tblLook w:firstColumn="1" w:firstRow="1" w:lastColumn="0" w:lastRow="0" w:noHBand="0" w:noVBand="1" w:val="04A0"/>
      </w:tblPr>
      <w:tblGrid>
        <w:gridCol w:w="3251"/>
        <w:gridCol w:w="3251"/>
        <w:gridCol w:w="3251"/>
      </w:tblGrid>
      <w:tr>
        <w:tc>
          <w:tcPr>
            <w:tcW w:type="dxa" w:w="3251"/>
            <w:shd w:fill="F1F6F5"/>
            <w:tcMar>
              <w:top w:w="135" w:type="dxa"/>
              <w:start w:w="140" w:type="dxa"/>
              <w:bottom w:w="135" w:type="dxa"/>
              <w:end w:w="140" w:type="dxa"/>
            </w:tcMar>
          </w:tcPr>
          <w:p>
            <w:pPr>
              <w:jc w:val="right"/>
              <w:bidi w:val="1"/>
            </w:pPr>
            <w:r>
              <w:rPr>
                <w:rFonts w:ascii="Noto Sans Arabic" w:hAnsi="Noto Sans Arabic" w:cs="Noto Sans Arabic" w:eastAsia="Noto Sans Arabic"/>
                <w:b w:val="0"/>
                <w:color w:val="687987"/>
                <w:sz w:val="16"/>
                <w:rtl w:val="1"/>
              </w:rPr>
              <w:t>نوع نمونه</w:t>
              <w:br/>
            </w:r>
            <w:r>
              <w:rPr>
                <w:rFonts w:ascii="Noto Sans Arabic" w:hAnsi="Noto Sans Arabic" w:cs="Noto Sans Arabic" w:eastAsia="Noto Sans Arabic"/>
                <w:b/>
                <w:color w:val="17283A"/>
                <w:sz w:val="20"/>
                <w:rtl w:val="1"/>
              </w:rPr>
              <w:t>گزارش ۲ تا ۳ صفحه‌ای</w:t>
            </w:r>
          </w:p>
        </w:tc>
        <w:tc>
          <w:tcPr>
            <w:tcW w:type="dxa" w:w="3251"/>
            <w:shd w:fill="F1F6F5"/>
            <w:tcMar>
              <w:top w:w="135" w:type="dxa"/>
              <w:start w:w="140" w:type="dxa"/>
              <w:bottom w:w="135" w:type="dxa"/>
              <w:end w:w="140" w:type="dxa"/>
            </w:tcMar>
          </w:tcPr>
          <w:p>
            <w:pPr>
              <w:jc w:val="right"/>
              <w:bidi w:val="1"/>
            </w:pPr>
            <w:r>
              <w:rPr>
                <w:rFonts w:ascii="Noto Sans Arabic" w:hAnsi="Noto Sans Arabic" w:cs="Noto Sans Arabic" w:eastAsia="Noto Sans Arabic"/>
                <w:b w:val="0"/>
                <w:color w:val="687987"/>
                <w:sz w:val="16"/>
                <w:rtl w:val="1"/>
              </w:rPr>
              <w:t>وضعیت</w:t>
              <w:br/>
            </w:r>
            <w:r>
              <w:rPr>
                <w:rFonts w:ascii="Noto Sans Arabic" w:hAnsi="Noto Sans Arabic" w:cs="Noto Sans Arabic" w:eastAsia="Noto Sans Arabic"/>
                <w:b/>
                <w:color w:val="17283A"/>
                <w:sz w:val="20"/>
                <w:rtl w:val="1"/>
              </w:rPr>
              <w:t>نمونه مستقل</w:t>
            </w:r>
          </w:p>
        </w:tc>
        <w:tc>
          <w:tcPr>
            <w:tcW w:type="dxa" w:w="3251"/>
            <w:shd w:fill="F1F6F5"/>
            <w:tcMar>
              <w:top w:w="135" w:type="dxa"/>
              <w:start w:w="140" w:type="dxa"/>
              <w:bottom w:w="135" w:type="dxa"/>
              <w:end w:w="140" w:type="dxa"/>
            </w:tcMar>
          </w:tcPr>
          <w:p>
            <w:pPr>
              <w:jc w:val="right"/>
              <w:bidi w:val="1"/>
            </w:pPr>
            <w:r>
              <w:rPr>
                <w:rFonts w:ascii="Noto Sans Arabic" w:hAnsi="Noto Sans Arabic" w:cs="Noto Sans Arabic" w:eastAsia="Noto Sans Arabic"/>
                <w:b w:val="0"/>
                <w:color w:val="687987"/>
                <w:sz w:val="16"/>
                <w:rtl w:val="1"/>
              </w:rPr>
              <w:t>مبنای داده</w:t>
              <w:br/>
            </w:r>
            <w:r>
              <w:rPr>
                <w:rFonts w:ascii="Noto Sans Arabic" w:hAnsi="Noto Sans Arabic" w:cs="Noto Sans Arabic" w:eastAsia="Noto Sans Arabic"/>
                <w:b/>
                <w:color w:val="17283A"/>
                <w:sz w:val="20"/>
                <w:rtl w:val="1"/>
              </w:rPr>
              <w:t>آموزشی و فرضی</w:t>
            </w:r>
          </w:p>
        </w:tc>
      </w:tr>
    </w:tbl>
    <w:p>
      <w:pPr>
        <w:spacing w:after="20"/>
      </w:pPr>
    </w:p>
    <w:p>
      <w:pPr>
        <w:spacing w:before="180" w:after="60"/>
        <w:jc w:val="right"/>
        <w:bidi w:val="1"/>
        <w:pBdr>
          <w:bottom w:val="single" w:sz="9" w:color="3D907F"/>
        </w:pBdr>
      </w:pPr>
      <w:r>
        <w:rPr>
          <w:rFonts w:ascii="Noto Sans Arabic" w:hAnsi="Noto Sans Arabic" w:cs="Noto Sans Arabic" w:eastAsia="Noto Sans Arabic"/>
          <w:b/>
          <w:color w:val="17283A"/>
          <w:sz w:val="26"/>
          <w:rtl w:val="1"/>
        </w:rPr>
        <w:t>چکیده مدیریتی</w:t>
      </w:r>
    </w:p>
    <w:p>
      <w:pPr>
        <w:spacing w:after="140" w:before="0" w:line="317" w:lineRule="auto"/>
        <w:jc w:val="right"/>
        <w:bidi w:val="1"/>
      </w:pPr>
      <w:r>
        <w:rPr>
          <w:rFonts w:ascii="Noto Sans Arabic" w:hAnsi="Noto Sans Arabic" w:cs="Noto Sans Arabic" w:eastAsia="Noto Sans Arabic"/>
          <w:b w:val="0"/>
          <w:color w:val="193041"/>
          <w:sz w:val="20"/>
          <w:rtl w:val="1"/>
        </w:rPr>
        <w:t>در فصل تابستان ۱۴۰۵، فروش شرکت فرضی «سپهر نو» به ۱۲۴ میلیارد ریال رسید. این رقم در مقایسه با بهار، ۲۴ درصد افزایش نشان می‌دهد. با وجود رشد فروش، افزایش سهم هزینه توزیع باید در اولویت بررسی قرار گیرد.</w:t>
      </w:r>
    </w:p>
    <w:p>
      <w:pPr>
        <w:spacing w:before="180" w:after="60"/>
        <w:jc w:val="right"/>
        <w:bidi w:val="1"/>
        <w:pBdr>
          <w:bottom w:val="single" w:sz="9" w:color="3D907F"/>
        </w:pBdr>
      </w:pPr>
      <w:r>
        <w:rPr>
          <w:rFonts w:ascii="Noto Sans Arabic" w:hAnsi="Noto Sans Arabic" w:cs="Noto Sans Arabic" w:eastAsia="Noto Sans Arabic"/>
          <w:b/>
          <w:color w:val="17283A"/>
          <w:sz w:val="26"/>
          <w:rtl w:val="1"/>
        </w:rPr>
        <w:t>شاخص‌های کلیدی</w:t>
      </w:r>
    </w:p>
    <w:tbl>
      <w:tblPr>
        <w:tblW w:type="auto" w:w="0"/>
        <w:jc w:val="center"/>
        <w:tblLayout w:type="fixed"/>
        <w:tblLook w:firstColumn="1" w:firstRow="1" w:lastColumn="0" w:lastRow="0" w:noHBand="0" w:noVBand="1" w:val="04A0"/>
        <w:bidiVisual w:val="1"/>
      </w:tblPr>
      <w:tblGrid>
        <w:gridCol w:w="2438"/>
        <w:gridCol w:w="2438"/>
        <w:gridCol w:w="2438"/>
        <w:gridCol w:w="2438"/>
      </w:tblGrid>
      <w:tr>
        <w:trPr>
          <w:tblHeader w:val="true"/>
          <w:cantSplit/>
        </w:trPr>
        <w:tc>
          <w:tcPr>
            <w:tcW w:type="dxa" w:w="2438"/>
            <w:shd w:fill="17283A"/>
            <w:tcMar>
              <w:top w:w="100" w:type="dxa"/>
              <w:start w:w="130" w:type="dxa"/>
              <w:bottom w:w="100" w:type="dxa"/>
              <w:end w:w="130" w:type="dxa"/>
            </w:tcMar>
          </w:tcPr>
          <w:p>
            <w:pPr>
              <w:spacing w:after="0"/>
              <w:jc w:val="right"/>
              <w:bidi w:val="1"/>
            </w:pPr>
            <w:r/>
            <w:r>
              <w:rPr>
                <w:rFonts w:ascii="Noto Sans Arabic" w:hAnsi="Noto Sans Arabic" w:cs="Noto Sans Arabic" w:eastAsia="Noto Sans Arabic"/>
                <w:b/>
                <w:color w:val="FFFFFF"/>
                <w:sz w:val="18"/>
                <w:rtl w:val="1"/>
              </w:rPr>
              <w:t>شاخص</w:t>
            </w:r>
          </w:p>
        </w:tc>
        <w:tc>
          <w:tcPr>
            <w:tcW w:type="dxa" w:w="2438"/>
            <w:shd w:fill="17283A"/>
            <w:tcMar>
              <w:top w:w="100" w:type="dxa"/>
              <w:start w:w="130" w:type="dxa"/>
              <w:bottom w:w="100" w:type="dxa"/>
              <w:end w:w="130" w:type="dxa"/>
            </w:tcMar>
          </w:tcPr>
          <w:p>
            <w:pPr>
              <w:spacing w:after="0"/>
              <w:jc w:val="right"/>
              <w:bidi w:val="1"/>
            </w:pPr>
            <w:r/>
            <w:r>
              <w:rPr>
                <w:rFonts w:ascii="Noto Sans Arabic" w:hAnsi="Noto Sans Arabic" w:cs="Noto Sans Arabic" w:eastAsia="Noto Sans Arabic"/>
                <w:b/>
                <w:color w:val="FFFFFF"/>
                <w:sz w:val="18"/>
                <w:rtl w:val="1"/>
              </w:rPr>
              <w:t>بهار ۱۴۰۵</w:t>
            </w:r>
          </w:p>
        </w:tc>
        <w:tc>
          <w:tcPr>
            <w:tcW w:type="dxa" w:w="2438"/>
            <w:shd w:fill="17283A"/>
            <w:tcMar>
              <w:top w:w="100" w:type="dxa"/>
              <w:start w:w="130" w:type="dxa"/>
              <w:bottom w:w="100" w:type="dxa"/>
              <w:end w:w="130" w:type="dxa"/>
            </w:tcMar>
          </w:tcPr>
          <w:p>
            <w:pPr>
              <w:spacing w:after="0"/>
              <w:jc w:val="right"/>
              <w:bidi w:val="1"/>
            </w:pPr>
            <w:r/>
            <w:r>
              <w:rPr>
                <w:rFonts w:ascii="Noto Sans Arabic" w:hAnsi="Noto Sans Arabic" w:cs="Noto Sans Arabic" w:eastAsia="Noto Sans Arabic"/>
                <w:b/>
                <w:color w:val="FFFFFF"/>
                <w:sz w:val="18"/>
                <w:rtl w:val="1"/>
              </w:rPr>
              <w:t>تابستان ۱۴۰۵</w:t>
            </w:r>
          </w:p>
        </w:tc>
        <w:tc>
          <w:tcPr>
            <w:tcW w:type="dxa" w:w="2438"/>
            <w:shd w:fill="17283A"/>
            <w:tcMar>
              <w:top w:w="100" w:type="dxa"/>
              <w:start w:w="130" w:type="dxa"/>
              <w:bottom w:w="100" w:type="dxa"/>
              <w:end w:w="130" w:type="dxa"/>
            </w:tcMar>
          </w:tcPr>
          <w:p>
            <w:pPr>
              <w:spacing w:after="0"/>
              <w:jc w:val="right"/>
              <w:bidi w:val="1"/>
            </w:pPr>
            <w:r/>
            <w:r>
              <w:rPr>
                <w:rFonts w:ascii="Noto Sans Arabic" w:hAnsi="Noto Sans Arabic" w:cs="Noto Sans Arabic" w:eastAsia="Noto Sans Arabic"/>
                <w:b/>
                <w:color w:val="FFFFFF"/>
                <w:sz w:val="18"/>
                <w:rtl w:val="1"/>
              </w:rPr>
              <w:t>تغییر</w:t>
            </w:r>
          </w:p>
        </w:tc>
      </w:tr>
      <w:tr>
        <w:trPr>
          <w:cantSplit/>
        </w:trPr>
        <w:tc>
          <w:tcPr>
            <w:tcW w:type="dxa" w:w="2438"/>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color w:val="193041"/>
                <w:sz w:val="18"/>
                <w:rtl w:val="1"/>
              </w:rPr>
              <w:t>درآمد فروش</w:t>
            </w:r>
          </w:p>
        </w:tc>
        <w:tc>
          <w:tcPr>
            <w:tcW w:type="dxa" w:w="2438"/>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۱۰۰ میلیارد ریال</w:t>
            </w:r>
          </w:p>
        </w:tc>
        <w:tc>
          <w:tcPr>
            <w:tcW w:type="dxa" w:w="2438"/>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۱۲۴ میلیارد ریال</w:t>
            </w:r>
          </w:p>
        </w:tc>
        <w:tc>
          <w:tcPr>
            <w:tcW w:type="dxa" w:w="2438"/>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۲۴٪ افزایش</w:t>
            </w:r>
          </w:p>
        </w:tc>
      </w:tr>
      <w:tr>
        <w:trPr>
          <w:cantSplit/>
        </w:trPr>
        <w:tc>
          <w:tcPr>
            <w:tcW w:type="dxa" w:w="2438"/>
            <w:shd w:fill="FFFFFF"/>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color w:val="193041"/>
                <w:sz w:val="18"/>
                <w:rtl w:val="1"/>
              </w:rPr>
              <w:t>بهای تمام‌شده</w:t>
            </w:r>
          </w:p>
        </w:tc>
        <w:tc>
          <w:tcPr>
            <w:tcW w:type="dxa" w:w="2438"/>
            <w:shd w:fill="FFFFFF"/>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۶۳ میلیارد ریال</w:t>
            </w:r>
          </w:p>
        </w:tc>
        <w:tc>
          <w:tcPr>
            <w:tcW w:type="dxa" w:w="2438"/>
            <w:shd w:fill="FFFFFF"/>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۷۶ میلیارد ریال</w:t>
            </w:r>
          </w:p>
        </w:tc>
        <w:tc>
          <w:tcPr>
            <w:tcW w:type="dxa" w:w="2438"/>
            <w:shd w:fill="FFFFFF"/>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۲۰٫۶٪ افزایش</w:t>
            </w:r>
          </w:p>
        </w:tc>
      </w:tr>
      <w:tr>
        <w:trPr>
          <w:cantSplit/>
        </w:trPr>
        <w:tc>
          <w:tcPr>
            <w:tcW w:type="dxa" w:w="2438"/>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color w:val="193041"/>
                <w:sz w:val="18"/>
                <w:rtl w:val="1"/>
              </w:rPr>
              <w:t>هزینه توزیع</w:t>
            </w:r>
          </w:p>
        </w:tc>
        <w:tc>
          <w:tcPr>
            <w:tcW w:type="dxa" w:w="2438"/>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۹ میلیارد ریال</w:t>
            </w:r>
          </w:p>
        </w:tc>
        <w:tc>
          <w:tcPr>
            <w:tcW w:type="dxa" w:w="2438"/>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۱۳ میلیارد ریال</w:t>
            </w:r>
          </w:p>
        </w:tc>
        <w:tc>
          <w:tcPr>
            <w:tcW w:type="dxa" w:w="2438"/>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۴۴٫۴٪ افزایش</w:t>
            </w:r>
          </w:p>
        </w:tc>
      </w:tr>
      <w:tr>
        <w:trPr>
          <w:cantSplit/>
        </w:trPr>
        <w:tc>
          <w:tcPr>
            <w:tcW w:type="dxa" w:w="2438"/>
            <w:shd w:fill="FFFFFF"/>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color w:val="193041"/>
                <w:sz w:val="18"/>
                <w:rtl w:val="1"/>
              </w:rPr>
              <w:t>سود عملیاتی نمونه</w:t>
            </w:r>
          </w:p>
        </w:tc>
        <w:tc>
          <w:tcPr>
            <w:tcW w:type="dxa" w:w="2438"/>
            <w:shd w:fill="FFFFFF"/>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۲۸ میلیارد ریال</w:t>
            </w:r>
          </w:p>
        </w:tc>
        <w:tc>
          <w:tcPr>
            <w:tcW w:type="dxa" w:w="2438"/>
            <w:shd w:fill="FFFFFF"/>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۳۵ میلیارد ریال</w:t>
            </w:r>
          </w:p>
        </w:tc>
        <w:tc>
          <w:tcPr>
            <w:tcW w:type="dxa" w:w="2438"/>
            <w:shd w:fill="FFFFFF"/>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۲۵٪ افزایش</w:t>
            </w:r>
          </w:p>
        </w:tc>
      </w:tr>
    </w:tbl>
    <w:p>
      <w:pPr>
        <w:spacing w:after="20"/>
      </w:pPr>
    </w:p>
    <w:p>
      <w:pPr>
        <w:spacing w:before="180" w:after="60"/>
        <w:jc w:val="right"/>
        <w:bidi w:val="1"/>
        <w:pBdr>
          <w:bottom w:val="single" w:sz="9" w:color="3D907F"/>
        </w:pBdr>
      </w:pPr>
      <w:r>
        <w:rPr>
          <w:rFonts w:ascii="Noto Sans Arabic" w:hAnsi="Noto Sans Arabic" w:cs="Noto Sans Arabic" w:eastAsia="Noto Sans Arabic"/>
          <w:b/>
          <w:color w:val="17283A"/>
          <w:sz w:val="26"/>
          <w:rtl w:val="1"/>
        </w:rPr>
        <w:t>تحلیل تغییرات</w:t>
      </w:r>
    </w:p>
    <w:p>
      <w:pPr>
        <w:spacing w:after="60"/>
        <w:ind w:left="283"/>
        <w:jc w:val="right"/>
        <w:bidi w:val="1"/>
      </w:pPr>
      <w:r>
        <w:rPr>
          <w:rFonts w:ascii="Noto Sans Arabic" w:hAnsi="Noto Sans Arabic" w:cs="Noto Sans Arabic" w:eastAsia="Noto Sans Arabic"/>
          <w:b w:val="0"/>
          <w:color w:val="193041"/>
          <w:sz w:val="19"/>
          <w:rtl w:val="1"/>
        </w:rPr>
        <w:t>•  درآمد به میزان ۲۴ میلیارد ریال رشد کرده، در حالی که بهای تمام‌شده ۱۳ میلیارد ریال بیشتر شده است.</w:t>
      </w:r>
    </w:p>
    <w:p>
      <w:pPr>
        <w:spacing w:after="60"/>
        <w:ind w:left="283"/>
        <w:jc w:val="right"/>
        <w:bidi w:val="1"/>
      </w:pPr>
      <w:r>
        <w:rPr>
          <w:rFonts w:ascii="Noto Sans Arabic" w:hAnsi="Noto Sans Arabic" w:cs="Noto Sans Arabic" w:eastAsia="Noto Sans Arabic"/>
          <w:b w:val="0"/>
          <w:color w:val="193041"/>
          <w:sz w:val="19"/>
          <w:rtl w:val="1"/>
        </w:rPr>
        <w:t>•  نرخ رشد هزینه توزیع از نرخ رشد فروش بالاتر است و نیاز به بررسی مسیرهای ارسال دارد.</w:t>
      </w:r>
    </w:p>
    <w:p>
      <w:pPr>
        <w:spacing w:after="60"/>
        <w:ind w:left="283"/>
        <w:jc w:val="right"/>
        <w:bidi w:val="1"/>
      </w:pPr>
      <w:r>
        <w:rPr>
          <w:rFonts w:ascii="Noto Sans Arabic" w:hAnsi="Noto Sans Arabic" w:cs="Noto Sans Arabic" w:eastAsia="Noto Sans Arabic"/>
          <w:b w:val="0"/>
          <w:color w:val="193041"/>
          <w:sz w:val="19"/>
          <w:rtl w:val="1"/>
        </w:rPr>
        <w:t>•  درصد سود عملیاتی در این مثال از ۲۸٪ به حدود ۲۸٫۲٪ رسیده و تغییر معنادار بزرگی نداشته است.</w:t>
      </w:r>
    </w:p>
    <w:p>
      <w:pPr>
        <w:spacing w:before="180" w:after="60"/>
        <w:jc w:val="right"/>
        <w:bidi w:val="1"/>
        <w:pBdr>
          <w:bottom w:val="single" w:sz="9" w:color="3D907F"/>
        </w:pBdr>
      </w:pPr>
      <w:r>
        <w:rPr>
          <w:rFonts w:ascii="Noto Sans Arabic" w:hAnsi="Noto Sans Arabic" w:cs="Noto Sans Arabic" w:eastAsia="Noto Sans Arabic"/>
          <w:b/>
          <w:color w:val="17283A"/>
          <w:sz w:val="26"/>
          <w:rtl w:val="1"/>
        </w:rPr>
        <w:t>پیشنهادهای اجرایی</w:t>
      </w:r>
    </w:p>
    <w:tbl>
      <w:tblPr>
        <w:tblW w:type="auto" w:w="0"/>
        <w:jc w:val="center"/>
        <w:tblLayout w:type="fixed"/>
        <w:tblLook w:firstColumn="1" w:firstRow="1" w:lastColumn="0" w:lastRow="0" w:noHBand="0" w:noVBand="1" w:val="04A0"/>
        <w:bidiVisual w:val="1"/>
      </w:tblPr>
      <w:tblGrid>
        <w:gridCol w:w="2438"/>
        <w:gridCol w:w="2438"/>
        <w:gridCol w:w="2438"/>
        <w:gridCol w:w="2438"/>
      </w:tblGrid>
      <w:tr>
        <w:trPr>
          <w:tblHeader w:val="true"/>
          <w:cantSplit/>
        </w:trPr>
        <w:tc>
          <w:tcPr>
            <w:tcW w:type="dxa" w:w="2438"/>
            <w:shd w:fill="17283A"/>
            <w:tcMar>
              <w:top w:w="100" w:type="dxa"/>
              <w:start w:w="130" w:type="dxa"/>
              <w:bottom w:w="100" w:type="dxa"/>
              <w:end w:w="130" w:type="dxa"/>
            </w:tcMar>
          </w:tcPr>
          <w:p>
            <w:pPr>
              <w:spacing w:after="0"/>
              <w:jc w:val="right"/>
              <w:bidi w:val="1"/>
            </w:pPr>
            <w:r/>
            <w:r>
              <w:rPr>
                <w:rFonts w:ascii="Noto Sans Arabic" w:hAnsi="Noto Sans Arabic" w:cs="Noto Sans Arabic" w:eastAsia="Noto Sans Arabic"/>
                <w:b/>
                <w:color w:val="FFFFFF"/>
                <w:sz w:val="18"/>
                <w:rtl w:val="1"/>
              </w:rPr>
              <w:t>اقدام پیشنهادی</w:t>
            </w:r>
          </w:p>
        </w:tc>
        <w:tc>
          <w:tcPr>
            <w:tcW w:type="dxa" w:w="2438"/>
            <w:shd w:fill="17283A"/>
            <w:tcMar>
              <w:top w:w="100" w:type="dxa"/>
              <w:start w:w="130" w:type="dxa"/>
              <w:bottom w:w="100" w:type="dxa"/>
              <w:end w:w="130" w:type="dxa"/>
            </w:tcMar>
          </w:tcPr>
          <w:p>
            <w:pPr>
              <w:spacing w:after="0"/>
              <w:jc w:val="right"/>
              <w:bidi w:val="1"/>
            </w:pPr>
            <w:r/>
            <w:r>
              <w:rPr>
                <w:rFonts w:ascii="Noto Sans Arabic" w:hAnsi="Noto Sans Arabic" w:cs="Noto Sans Arabic" w:eastAsia="Noto Sans Arabic"/>
                <w:b/>
                <w:color w:val="FFFFFF"/>
                <w:sz w:val="18"/>
                <w:rtl w:val="1"/>
              </w:rPr>
              <w:t>مسئول فرضی</w:t>
            </w:r>
          </w:p>
        </w:tc>
        <w:tc>
          <w:tcPr>
            <w:tcW w:type="dxa" w:w="2438"/>
            <w:shd w:fill="17283A"/>
            <w:tcMar>
              <w:top w:w="100" w:type="dxa"/>
              <w:start w:w="130" w:type="dxa"/>
              <w:bottom w:w="100" w:type="dxa"/>
              <w:end w:w="130" w:type="dxa"/>
            </w:tcMar>
          </w:tcPr>
          <w:p>
            <w:pPr>
              <w:spacing w:after="0"/>
              <w:jc w:val="right"/>
              <w:bidi w:val="1"/>
            </w:pPr>
            <w:r/>
            <w:r>
              <w:rPr>
                <w:rFonts w:ascii="Noto Sans Arabic" w:hAnsi="Noto Sans Arabic" w:cs="Noto Sans Arabic" w:eastAsia="Noto Sans Arabic"/>
                <w:b/>
                <w:color w:val="FFFFFF"/>
                <w:sz w:val="18"/>
                <w:rtl w:val="1"/>
              </w:rPr>
              <w:t>مهلت</w:t>
            </w:r>
          </w:p>
        </w:tc>
        <w:tc>
          <w:tcPr>
            <w:tcW w:type="dxa" w:w="2438"/>
            <w:shd w:fill="17283A"/>
            <w:tcMar>
              <w:top w:w="100" w:type="dxa"/>
              <w:start w:w="130" w:type="dxa"/>
              <w:bottom w:w="100" w:type="dxa"/>
              <w:end w:w="130" w:type="dxa"/>
            </w:tcMar>
          </w:tcPr>
          <w:p>
            <w:pPr>
              <w:spacing w:after="0"/>
              <w:jc w:val="right"/>
              <w:bidi w:val="1"/>
            </w:pPr>
            <w:r/>
            <w:r>
              <w:rPr>
                <w:rFonts w:ascii="Noto Sans Arabic" w:hAnsi="Noto Sans Arabic" w:cs="Noto Sans Arabic" w:eastAsia="Noto Sans Arabic"/>
                <w:b/>
                <w:color w:val="FFFFFF"/>
                <w:sz w:val="18"/>
                <w:rtl w:val="1"/>
              </w:rPr>
              <w:t>معیار سنجش</w:t>
            </w:r>
          </w:p>
        </w:tc>
      </w:tr>
      <w:tr>
        <w:trPr>
          <w:cantSplit/>
        </w:trPr>
        <w:tc>
          <w:tcPr>
            <w:tcW w:type="dxa" w:w="2438"/>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color w:val="193041"/>
                <w:sz w:val="18"/>
                <w:rtl w:val="1"/>
              </w:rPr>
              <w:t>تحلیل قراردادهای حمل</w:t>
            </w:r>
          </w:p>
        </w:tc>
        <w:tc>
          <w:tcPr>
            <w:tcW w:type="dxa" w:w="2438"/>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مدیر عملیات</w:t>
            </w:r>
          </w:p>
        </w:tc>
        <w:tc>
          <w:tcPr>
            <w:tcW w:type="dxa" w:w="2438"/>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دو هفته</w:t>
            </w:r>
          </w:p>
        </w:tc>
        <w:tc>
          <w:tcPr>
            <w:tcW w:type="dxa" w:w="2438"/>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هزینه توزیع به فروش</w:t>
            </w:r>
          </w:p>
        </w:tc>
      </w:tr>
      <w:tr>
        <w:trPr>
          <w:cantSplit/>
        </w:trPr>
        <w:tc>
          <w:tcPr>
            <w:tcW w:type="dxa" w:w="2438"/>
            <w:shd w:fill="FFFFFF"/>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color w:val="193041"/>
                <w:sz w:val="18"/>
                <w:rtl w:val="1"/>
              </w:rPr>
              <w:t>تهیه گزارش حاشیه سود کالا</w:t>
            </w:r>
          </w:p>
        </w:tc>
        <w:tc>
          <w:tcPr>
            <w:tcW w:type="dxa" w:w="2438"/>
            <w:shd w:fill="FFFFFF"/>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تحلیلگر مالی</w:t>
            </w:r>
          </w:p>
        </w:tc>
        <w:tc>
          <w:tcPr>
            <w:tcW w:type="dxa" w:w="2438"/>
            <w:shd w:fill="FFFFFF"/>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سه هفته</w:t>
            </w:r>
          </w:p>
        </w:tc>
        <w:tc>
          <w:tcPr>
            <w:tcW w:type="dxa" w:w="2438"/>
            <w:shd w:fill="FFFFFF"/>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حاشیه سود هر گروه</w:t>
            </w:r>
          </w:p>
        </w:tc>
      </w:tr>
      <w:tr>
        <w:trPr>
          <w:cantSplit/>
        </w:trPr>
        <w:tc>
          <w:tcPr>
            <w:tcW w:type="dxa" w:w="2438"/>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color w:val="193041"/>
                <w:sz w:val="18"/>
                <w:rtl w:val="1"/>
              </w:rPr>
              <w:t>بودجه‌ریزی فصل آینده</w:t>
            </w:r>
          </w:p>
        </w:tc>
        <w:tc>
          <w:tcPr>
            <w:tcW w:type="dxa" w:w="2438"/>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مدیر مالی</w:t>
            </w:r>
          </w:p>
        </w:tc>
        <w:tc>
          <w:tcPr>
            <w:tcW w:type="dxa" w:w="2438"/>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یک ماه</w:t>
            </w:r>
          </w:p>
        </w:tc>
        <w:tc>
          <w:tcPr>
            <w:tcW w:type="dxa" w:w="2438"/>
            <w:shd w:fill="F1F6F5"/>
            <w:tcMar>
              <w:top w:w="68" w:type="dxa"/>
              <w:start w:w="115" w:type="dxa"/>
              <w:bottom w:w="68" w:type="dxa"/>
              <w:end w:w="115" w:type="dxa"/>
            </w:tcMar>
            <w:tcBorders>
              <w:bottom w:val="single" w:sz="4" w:color="D6E1E3"/>
            </w:tcBorders>
            <w:vAlign w:val="center"/>
          </w:tcPr>
          <w:p>
            <w:pPr>
              <w:spacing w:after="0"/>
              <w:jc w:val="right"/>
              <w:bidi w:val="1"/>
            </w:pPr>
            <w:r/>
            <w:r>
              <w:rPr>
                <w:rFonts w:ascii="Noto Sans Arabic" w:hAnsi="Noto Sans Arabic" w:cs="Noto Sans Arabic" w:eastAsia="Noto Sans Arabic"/>
                <w:b w:val="0"/>
                <w:color w:val="193041"/>
                <w:sz w:val="18"/>
                <w:rtl w:val="1"/>
              </w:rPr>
              <w:t>انحراف هزینه از بودجه</w:t>
            </w:r>
          </w:p>
        </w:tc>
      </w:tr>
    </w:tbl>
    <w:p>
      <w:pPr>
        <w:spacing w:after="20"/>
      </w:pPr>
    </w:p>
    <w:tbl>
      <w:tblPr>
        <w:tblW w:type="auto" w:w="0"/>
        <w:tblLook w:firstColumn="1" w:firstRow="1" w:lastColumn="0" w:lastRow="0" w:noHBand="0" w:noVBand="1" w:val="04A0"/>
      </w:tblPr>
      <w:tblGrid>
        <w:gridCol w:w="9752"/>
      </w:tblGrid>
      <w:tr>
        <w:tc>
          <w:tcPr>
            <w:tcW w:type="dxa" w:w="9752"/>
            <w:shd w:fill="EBF1F6"/>
            <w:tcMar>
              <w:top w:w="145" w:type="dxa"/>
              <w:start w:w="180" w:type="dxa"/>
              <w:bottom w:w="145" w:type="dxa"/>
              <w:end w:w="180" w:type="dxa"/>
            </w:tcMar>
          </w:tcPr>
          <w:p>
            <w:pPr>
              <w:spacing w:after="0"/>
              <w:jc w:val="right"/>
              <w:bidi w:val="1"/>
            </w:pPr>
            <w:r>
              <w:rPr>
                <w:rFonts w:ascii="Noto Sans Arabic" w:hAnsi="Noto Sans Arabic" w:cs="Noto Sans Arabic" w:eastAsia="Noto Sans Arabic"/>
                <w:b w:val="0"/>
                <w:color w:val="17283A"/>
                <w:sz w:val="18"/>
                <w:rtl w:val="1"/>
              </w:rPr>
              <w:t>نکته کنترل کیفیت  |  ارقام این گزارش صرفاً برای نمایش طراحی و گزارش‌نویسی انتخاب شده‌اند؛ مبنای تصمیم مالی واقعی نیستند.</w:t>
            </w:r>
          </w:p>
        </w:tc>
      </w:tr>
    </w:tbl>
    <w:sectPr w:rsidR="00FC693F" w:rsidRPr="0006063C" w:rsidSect="00034616">
      <w:headerReference w:type="default" r:id="rId9"/>
      <w:footerReference w:type="default" r:id="rId10"/>
      <w:pgSz w:w="11906" w:h="16838"/>
      <w:pgMar w:top="1020" w:right="1077" w:bottom="850" w:left="1077" w:header="454" w:footer="48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bidi w:val="1"/>
    </w:pPr>
    <w:r>
      <w:rPr>
        <w:rFonts w:ascii="Noto Sans Arabic" w:hAnsi="Noto Sans Arabic" w:cs="Noto Sans Arabic" w:eastAsia="Noto Sans Arabic"/>
        <w:b w:val="0"/>
        <w:color w:val="687987"/>
        <w:sz w:val="15"/>
        <w:rtl w:val="1"/>
      </w:rPr>
      <w:t xml:space="preserve">اطلاعات آموزشی و فرضی  •  قابل ویرایش  •  صفحه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bidi w:val="1"/>
    </w:pPr>
    <w:r>
      <w:rPr>
        <w:rFonts w:ascii="Noto Sans Arabic" w:hAnsi="Noto Sans Arabic" w:cs="Noto Sans Arabic" w:eastAsia="Noto Sans Arabic"/>
        <w:b/>
        <w:color w:val="3D907F"/>
        <w:sz w:val="17"/>
        <w:rtl w:val="1"/>
      </w:rPr>
      <w:t>ERVIRA   |   نمونه‌کار مستقلِ اسناد فارسی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336" w:lineRule="auto"/>
    </w:pPr>
    <w:rPr>
      <w:rFonts w:ascii="Noto Sans Arabic" w:hAnsi="Noto Sans Arabic"/>
      <w:color w:val="19304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Executive Performance Report</dc:title>
  <dc:subject>نمونه‌کار مستقل؛ داده و هویت فرضی</dc:subject>
  <dc:creator>ERVIRA Studio</dc:creator>
  <cp:keywords/>
  <dc:description>generated by python-docx</dc:description>
  <cp:lastModifiedBy/>
  <cp:revision>1</cp:revision>
  <dcterms:created xsi:type="dcterms:W3CDTF">2013-12-23T23:15:00Z</dcterms:created>
  <dcterms:modified xsi:type="dcterms:W3CDTF">2013-12-23T23:15:00Z</dcterms:modified>
  <cp:category/>
</cp:coreProperties>
</file>